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9" w:rsidRDefault="00140820" w:rsidP="00CF11BE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LIPSPEAKER UK</w:t>
      </w:r>
      <w:r>
        <w:t>- NMH Rates</w:t>
      </w:r>
    </w:p>
    <w:p w:rsidR="00CF11BE" w:rsidRDefault="00140820" w:rsidP="00CF11BE">
      <w:pPr>
        <w:pStyle w:val="Heading1"/>
      </w:pPr>
      <w:r>
        <w:t>Period covered - 01/04/20</w:t>
      </w:r>
      <w:r>
        <w:rPr>
          <w:color w:val="FF0000"/>
        </w:rPr>
        <w:t>16</w:t>
      </w:r>
      <w:r>
        <w:t xml:space="preserve"> through to 31/03/20</w:t>
      </w:r>
      <w:r>
        <w:rPr>
          <w:color w:val="FF0000"/>
        </w:rPr>
        <w:t>17</w:t>
      </w:r>
      <w:r>
        <w:t xml:space="preserve">  </w:t>
      </w:r>
    </w:p>
    <w:p w:rsidR="00CF11BE" w:rsidRDefault="008A72AA" w:rsidP="00176276">
      <w:pPr>
        <w:spacing w:after="0" w:line="240" w:lineRule="auto"/>
        <w:rPr>
          <w:b/>
        </w:rPr>
      </w:pPr>
    </w:p>
    <w:p w:rsidR="007451C2" w:rsidRDefault="00140820" w:rsidP="00701EE1">
      <w:pPr>
        <w:spacing w:after="0" w:line="240" w:lineRule="auto"/>
        <w:jc w:val="both"/>
      </w:pPr>
      <w:r>
        <w:t xml:space="preserve">The table below shows NMH rates. The greyed out cells indicate that the NMH provider does not offer these services. </w:t>
      </w:r>
    </w:p>
    <w:p w:rsidR="00266FFC" w:rsidRDefault="008A72AA" w:rsidP="00701EE1">
      <w:pPr>
        <w:spacing w:after="0" w:line="240" w:lineRule="auto"/>
        <w:jc w:val="both"/>
        <w:rPr>
          <w:b/>
        </w:rPr>
      </w:pPr>
    </w:p>
    <w:p w:rsidR="007451C2" w:rsidRDefault="00140820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A72AA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140820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 (in-person)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140820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 (in-person, 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140820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(e.g.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Skpe</w:t>
            </w:r>
            <w:proofErr w:type="spellEnd"/>
            <w:r>
              <w:rPr>
                <w:b/>
              </w:rPr>
              <w:t xml:space="preserve"> or similar) Only</w:t>
            </w:r>
          </w:p>
        </w:tc>
      </w:tr>
      <w:tr w:rsid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140820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Practical Support Assistant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F83345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Reader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Scribe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Sighted Guide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140820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8A72AA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8A72AA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8A72AA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8A72AA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8A72AA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8A72AA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8A72AA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8A72AA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8A72AA" w:rsidP="00371BD9">
            <w:pPr>
              <w:jc w:val="center"/>
              <w:rPr>
                <w:b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033924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rPr>
          <w:trHeight w:val="71"/>
        </w:trPr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Default="00140820" w:rsidP="00EF09D5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B0255C" w:rsidRDefault="00140820" w:rsidP="002844FF">
            <w:pPr>
              <w:jc w:val="center"/>
            </w:pPr>
            <w:r>
              <w:t>42</w:t>
            </w:r>
          </w:p>
        </w:tc>
      </w:tr>
      <w:tr w:rsid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140820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Default="00140820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B0255C" w:rsidRDefault="00140820" w:rsidP="002844FF">
            <w:pPr>
              <w:jc w:val="center"/>
            </w:pPr>
            <w:r>
              <w:t>42</w:t>
            </w: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Default="00140820" w:rsidP="00EF09D5">
            <w:r>
              <w:t>Lip Speaker</w:t>
            </w:r>
          </w:p>
        </w:tc>
        <w:tc>
          <w:tcPr>
            <w:tcW w:w="851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B0255C" w:rsidRDefault="00140820" w:rsidP="002844FF">
            <w:pPr>
              <w:jc w:val="center"/>
            </w:pPr>
            <w:r>
              <w:t>60</w:t>
            </w: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Default="00140820" w:rsidP="00FD6725">
            <w:r>
              <w:t>Specialist Note taker (Deaf/</w:t>
            </w:r>
            <w:r w:rsidRPr="00FD6725">
              <w:t>Hard of Hearing 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B0255C" w:rsidRDefault="00140820" w:rsidP="002844FF">
            <w:pPr>
              <w:jc w:val="center"/>
            </w:pPr>
            <w:r>
              <w:t>54</w:t>
            </w: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7948F8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Note taker (VI students) including Braille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Transcription Service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Mobility Trainer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140820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8A72AA" w:rsidP="002844FF">
            <w:pPr>
              <w:jc w:val="center"/>
              <w:rPr>
                <w:b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 xml:space="preserve">Specialist 1:1 Study Skills Support - </w:t>
            </w:r>
            <w:proofErr w:type="spellStart"/>
            <w:r w:rsidRPr="002844FF">
              <w:rPr>
                <w:color w:val="EEECE1" w:themeColor="background2"/>
              </w:rP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FD6725" w:rsidRDefault="00140820" w:rsidP="00D45871">
            <w:r w:rsidRPr="00FD6725">
              <w:t xml:space="preserve">BSL Interpreter - includes Interpreter for the deaf or </w:t>
            </w:r>
            <w:proofErr w:type="spellStart"/>
            <w:r w:rsidRPr="00FD6725">
              <w:t>Deafblind</w:t>
            </w:r>
            <w:proofErr w:type="spellEnd"/>
            <w:r w:rsidRPr="00FD6725">
              <w:t xml:space="preserve"> People</w:t>
            </w:r>
          </w:p>
        </w:tc>
        <w:tc>
          <w:tcPr>
            <w:tcW w:w="851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B0255C" w:rsidRDefault="00140820" w:rsidP="002844FF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0255C" w:rsidRDefault="00140820" w:rsidP="002844FF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B0255C" w:rsidRDefault="00140820" w:rsidP="002844FF">
            <w:pPr>
              <w:jc w:val="center"/>
            </w:pPr>
            <w:r>
              <w:t>60</w:t>
            </w: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Deaf students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16591D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</w:tr>
      <w:tr w:rsidR="00442BD6">
        <w:tc>
          <w:tcPr>
            <w:tcW w:w="9781" w:type="dxa"/>
            <w:shd w:val="clear" w:color="auto" w:fill="auto"/>
          </w:tcPr>
          <w:p w:rsidR="00B0255C" w:rsidRPr="002844FF" w:rsidRDefault="00140820" w:rsidP="0016591D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:rsidR="00B0255C" w:rsidRPr="002844FF" w:rsidRDefault="008A72AA" w:rsidP="00EF09D5">
            <w:pPr>
              <w:rPr>
                <w:color w:val="EEECE1" w:themeColor="background2"/>
              </w:rPr>
            </w:pPr>
          </w:p>
        </w:tc>
      </w:tr>
    </w:tbl>
    <w:p w:rsidR="00776B99" w:rsidRPr="00965E58" w:rsidRDefault="008A72AA">
      <w:pPr>
        <w:rPr>
          <w:b/>
        </w:rPr>
      </w:pPr>
    </w:p>
    <w:sectPr w:rsidR="00776B99" w:rsidRPr="00965E58" w:rsidSect="00644C1A">
      <w:footerReference w:type="default" r:id="rId9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20" w:rsidRDefault="00140820" w:rsidP="0086325D">
      <w:pPr>
        <w:spacing w:after="0" w:line="240" w:lineRule="auto"/>
      </w:pPr>
      <w:r>
        <w:separator/>
      </w:r>
    </w:p>
  </w:endnote>
  <w:endnote w:type="continuationSeparator" w:id="0">
    <w:p w:rsidR="00140820" w:rsidRDefault="00140820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DB" w:rsidRDefault="008A72AA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A01DDB" w:rsidRPr="00CD5A01">
      <w:tc>
        <w:tcPr>
          <w:tcW w:w="1384" w:type="dxa"/>
          <w:vAlign w:val="center"/>
        </w:tcPr>
        <w:p w:rsidR="00A01DDB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A01DDB" w:rsidRPr="009628D0" w:rsidRDefault="00140820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16</w:t>
          </w:r>
          <w:r>
            <w:rPr>
              <w:b/>
              <w:sz w:val="16"/>
              <w:szCs w:val="16"/>
            </w:rPr>
            <w:t>/09/2016</w:t>
          </w:r>
        </w:p>
      </w:tc>
      <w:tc>
        <w:tcPr>
          <w:tcW w:w="1416" w:type="dxa"/>
          <w:vAlign w:val="center"/>
        </w:tcPr>
        <w:p w:rsidR="00A01DDB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A01DDB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A01DDB" w:rsidRPr="00CC1722" w:rsidRDefault="008A72AA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20" w:rsidRDefault="00140820" w:rsidP="0086325D">
      <w:pPr>
        <w:spacing w:after="0" w:line="240" w:lineRule="auto"/>
      </w:pPr>
      <w:r>
        <w:separator/>
      </w:r>
    </w:p>
  </w:footnote>
  <w:footnote w:type="continuationSeparator" w:id="0">
    <w:p w:rsidR="00140820" w:rsidRDefault="00140820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140820"/>
    <w:rsid w:val="008A72AA"/>
    <w:rsid w:val="00C5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Macintosh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linzi weatherson</cp:lastModifiedBy>
  <cp:revision>2</cp:revision>
  <dcterms:created xsi:type="dcterms:W3CDTF">2016-10-17T18:49:00Z</dcterms:created>
  <dcterms:modified xsi:type="dcterms:W3CDTF">2016-10-17T18:49:00Z</dcterms:modified>
</cp:coreProperties>
</file>